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5F22" w14:textId="77777777" w:rsidR="007E4F6E" w:rsidRDefault="007E4F6E" w:rsidP="00291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3A44158" w14:textId="77777777" w:rsidR="00EA2E3A" w:rsidRDefault="00DF4E81" w:rsidP="00BB66CF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  <w:r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REPORT ON A </w:t>
      </w:r>
      <w:r w:rsidR="00EA2E3A">
        <w:rPr>
          <w:rFonts w:ascii="Arial" w:hAnsi="Arial" w:cs="Arial"/>
          <w:b/>
          <w:color w:val="17365D" w:themeColor="text2" w:themeShade="BF"/>
          <w:sz w:val="22"/>
          <w:szCs w:val="22"/>
        </w:rPr>
        <w:t xml:space="preserve">COMMUNITY OF PRACTICE SESSION: </w:t>
      </w:r>
    </w:p>
    <w:p w14:paraId="555D03BC" w14:textId="2334977C" w:rsidR="000F4230" w:rsidRPr="00BD68FA" w:rsidRDefault="00EA2E3A" w:rsidP="00BB66CF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  <w:r>
        <w:rPr>
          <w:rFonts w:ascii="Arial" w:hAnsi="Arial" w:cs="Arial"/>
          <w:b/>
          <w:color w:val="17365D" w:themeColor="text2" w:themeShade="BF"/>
          <w:sz w:val="22"/>
          <w:szCs w:val="22"/>
        </w:rPr>
        <w:t>PARTICIPATING IN THE GLOBAL HYDROGEN ECONOMY</w:t>
      </w:r>
    </w:p>
    <w:p w14:paraId="01CD4ED8" w14:textId="76900F73" w:rsidR="00B47918" w:rsidRPr="00291220" w:rsidRDefault="00291220" w:rsidP="00291220">
      <w:pPr>
        <w:spacing w:before="120" w:after="120"/>
        <w:jc w:val="both"/>
        <w:rPr>
          <w:rFonts w:ascii="Arial" w:hAnsi="Arial" w:cs="Arial"/>
          <w:b/>
          <w:color w:val="17365D" w:themeColor="text2" w:themeShade="BF"/>
          <w:sz w:val="22"/>
          <w:szCs w:val="22"/>
        </w:rPr>
      </w:pPr>
      <w:r w:rsidRPr="00291220">
        <w:rPr>
          <w:rFonts w:ascii="Arial" w:hAnsi="Arial" w:cs="Arial"/>
          <w:b/>
          <w:color w:val="17365D" w:themeColor="text2" w:themeShade="BF"/>
          <w:sz w:val="22"/>
          <w:szCs w:val="22"/>
        </w:rPr>
        <w:t>SUMMARY</w:t>
      </w:r>
    </w:p>
    <w:p w14:paraId="7A07E411" w14:textId="74FFD280" w:rsidR="00964C28" w:rsidRDefault="002A5496" w:rsidP="00964C28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2A5496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submission </w:t>
      </w:r>
      <w:r w:rsidRPr="002A5496">
        <w:rPr>
          <w:rFonts w:ascii="Arial" w:hAnsi="Arial" w:cs="Arial"/>
          <w:sz w:val="22"/>
          <w:szCs w:val="22"/>
        </w:rPr>
        <w:t xml:space="preserve">reports on the proceedings of a </w:t>
      </w:r>
      <w:r w:rsidR="00054ED4">
        <w:rPr>
          <w:rFonts w:ascii="Arial" w:hAnsi="Arial" w:cs="Arial"/>
          <w:sz w:val="22"/>
          <w:szCs w:val="22"/>
        </w:rPr>
        <w:t xml:space="preserve">Community of Practice </w:t>
      </w:r>
      <w:r w:rsidRPr="002A5496">
        <w:rPr>
          <w:rFonts w:ascii="Arial" w:hAnsi="Arial" w:cs="Arial"/>
          <w:sz w:val="22"/>
          <w:szCs w:val="22"/>
        </w:rPr>
        <w:t xml:space="preserve">session </w:t>
      </w:r>
      <w:r w:rsidR="00054ED4">
        <w:rPr>
          <w:rFonts w:ascii="Arial" w:hAnsi="Arial" w:cs="Arial"/>
          <w:sz w:val="22"/>
          <w:szCs w:val="22"/>
        </w:rPr>
        <w:t xml:space="preserve">held </w:t>
      </w:r>
      <w:r w:rsidR="00F92DC4">
        <w:rPr>
          <w:rFonts w:ascii="Arial" w:hAnsi="Arial" w:cs="Arial"/>
          <w:sz w:val="22"/>
          <w:szCs w:val="22"/>
        </w:rPr>
        <w:t xml:space="preserve">on </w:t>
      </w:r>
      <w:r w:rsidR="00054ED4">
        <w:rPr>
          <w:rFonts w:ascii="Arial" w:hAnsi="Arial" w:cs="Arial"/>
          <w:sz w:val="22"/>
          <w:szCs w:val="22"/>
        </w:rPr>
        <w:t xml:space="preserve">8 October </w:t>
      </w:r>
      <w:r w:rsidR="00F92DC4">
        <w:rPr>
          <w:rFonts w:ascii="Arial" w:hAnsi="Arial" w:cs="Arial"/>
          <w:sz w:val="22"/>
          <w:szCs w:val="22"/>
        </w:rPr>
        <w:t>2020</w:t>
      </w:r>
      <w:r w:rsidR="00964C28">
        <w:rPr>
          <w:rFonts w:ascii="Arial" w:hAnsi="Arial" w:cs="Arial"/>
          <w:sz w:val="22"/>
          <w:szCs w:val="22"/>
        </w:rPr>
        <w:t xml:space="preserve">, which </w:t>
      </w:r>
      <w:r w:rsidR="000B2FD3">
        <w:rPr>
          <w:rFonts w:ascii="Arial" w:hAnsi="Arial" w:cs="Arial"/>
          <w:sz w:val="22"/>
          <w:szCs w:val="22"/>
        </w:rPr>
        <w:t xml:space="preserve">explored </w:t>
      </w:r>
      <w:r w:rsidR="00054ED4">
        <w:rPr>
          <w:rFonts w:ascii="Arial" w:hAnsi="Arial" w:cs="Arial"/>
          <w:sz w:val="22"/>
          <w:szCs w:val="22"/>
        </w:rPr>
        <w:t xml:space="preserve">the potential for South Africa to </w:t>
      </w:r>
      <w:r w:rsidR="00A1470A">
        <w:rPr>
          <w:rFonts w:ascii="Arial" w:hAnsi="Arial" w:cs="Arial"/>
          <w:sz w:val="22"/>
          <w:szCs w:val="22"/>
        </w:rPr>
        <w:t xml:space="preserve">position into </w:t>
      </w:r>
      <w:r w:rsidR="00054ED4">
        <w:rPr>
          <w:rFonts w:ascii="Arial" w:hAnsi="Arial" w:cs="Arial"/>
          <w:sz w:val="22"/>
          <w:szCs w:val="22"/>
        </w:rPr>
        <w:t>the future global trade of renewable, carbon-neutral energy, as a producer and net exporter of green hydrogen.</w:t>
      </w:r>
      <w:r w:rsidR="00814D4B">
        <w:rPr>
          <w:rFonts w:ascii="Arial" w:hAnsi="Arial" w:cs="Arial"/>
          <w:sz w:val="22"/>
          <w:szCs w:val="22"/>
        </w:rPr>
        <w:t xml:space="preserve"> </w:t>
      </w:r>
      <w:r w:rsidR="00964C28">
        <w:rPr>
          <w:rFonts w:ascii="Arial" w:hAnsi="Arial" w:cs="Arial"/>
          <w:sz w:val="22"/>
          <w:szCs w:val="22"/>
        </w:rPr>
        <w:t xml:space="preserve">The session was attended by sixteen TCTA and fourteen external delegates, from the </w:t>
      </w:r>
      <w:r w:rsidR="00964C28" w:rsidRPr="00C77524">
        <w:rPr>
          <w:rFonts w:ascii="Arial" w:hAnsi="Arial" w:cs="Arial"/>
          <w:sz w:val="22"/>
          <w:szCs w:val="22"/>
        </w:rPr>
        <w:t xml:space="preserve">CSIR, </w:t>
      </w:r>
      <w:r w:rsidR="00964C28">
        <w:rPr>
          <w:rFonts w:ascii="Arial" w:hAnsi="Arial" w:cs="Arial"/>
          <w:sz w:val="22"/>
          <w:szCs w:val="22"/>
        </w:rPr>
        <w:t xml:space="preserve">E-Science, the Western Cape Provincial Government, the Department of Science and Innovation, the Water Research Commission, the Development Bank of Southern Africa, </w:t>
      </w:r>
      <w:proofErr w:type="spellStart"/>
      <w:r w:rsidR="00964C28">
        <w:rPr>
          <w:rFonts w:ascii="Arial" w:hAnsi="Arial" w:cs="Arial"/>
          <w:sz w:val="22"/>
          <w:szCs w:val="22"/>
        </w:rPr>
        <w:t>GreenCape</w:t>
      </w:r>
      <w:proofErr w:type="spellEnd"/>
      <w:r w:rsidR="00964C28">
        <w:rPr>
          <w:rFonts w:ascii="Arial" w:hAnsi="Arial" w:cs="Arial"/>
          <w:sz w:val="22"/>
          <w:szCs w:val="22"/>
        </w:rPr>
        <w:t xml:space="preserve"> and Eskom</w:t>
      </w:r>
      <w:r w:rsidR="00964C28" w:rsidRPr="00C77524">
        <w:rPr>
          <w:rFonts w:ascii="Arial" w:hAnsi="Arial" w:cs="Arial"/>
          <w:sz w:val="22"/>
          <w:szCs w:val="22"/>
        </w:rPr>
        <w:t>.</w:t>
      </w:r>
      <w:r w:rsidR="00964C28">
        <w:rPr>
          <w:rFonts w:ascii="Arial" w:hAnsi="Arial" w:cs="Arial"/>
          <w:sz w:val="22"/>
          <w:szCs w:val="22"/>
        </w:rPr>
        <w:t xml:space="preserve"> Three presentations were made: One by TCTA, setting the context, one by E-Science, dealing with hydrogen as an energy carrier, and one by CSIR, unpacking the economics of green hydrogen</w:t>
      </w:r>
      <w:r w:rsidR="003940AE">
        <w:rPr>
          <w:rFonts w:ascii="Arial" w:hAnsi="Arial" w:cs="Arial"/>
          <w:sz w:val="22"/>
          <w:szCs w:val="22"/>
        </w:rPr>
        <w:t>, and hence the opportunity for South Africa. Delegate evaluation of the session returned a score of 4.5 out of a possible 5.</w:t>
      </w:r>
      <w:r w:rsidR="00964C28">
        <w:rPr>
          <w:rFonts w:ascii="Arial" w:hAnsi="Arial" w:cs="Arial"/>
          <w:sz w:val="22"/>
          <w:szCs w:val="22"/>
        </w:rPr>
        <w:t xml:space="preserve"> </w:t>
      </w:r>
    </w:p>
    <w:p w14:paraId="08977758" w14:textId="0DAD46B2" w:rsidR="00964C28" w:rsidRDefault="00F86EB0" w:rsidP="00291220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advent of the global hydrogen economy will arguably be the most prominent development within the water-energy-climate nexus for several decades to come; it is driven by the commitments made by a majority of nations in the 2015 Paris Accord</w:t>
      </w:r>
      <w:r w:rsidR="007F0996">
        <w:rPr>
          <w:rFonts w:ascii="Arial" w:hAnsi="Arial" w:cs="Arial"/>
          <w:sz w:val="22"/>
          <w:szCs w:val="22"/>
        </w:rPr>
        <w:t xml:space="preserve"> to reduce carbon emissions, and the subsequent strategies by these nations to transition from </w:t>
      </w:r>
      <w:r w:rsidR="00566E47">
        <w:rPr>
          <w:rFonts w:ascii="Arial" w:hAnsi="Arial" w:cs="Arial"/>
          <w:sz w:val="22"/>
          <w:szCs w:val="22"/>
        </w:rPr>
        <w:t xml:space="preserve">fossil-based </w:t>
      </w:r>
      <w:r w:rsidR="007F0996">
        <w:rPr>
          <w:rFonts w:ascii="Arial" w:hAnsi="Arial" w:cs="Arial"/>
          <w:sz w:val="22"/>
          <w:szCs w:val="22"/>
        </w:rPr>
        <w:t xml:space="preserve">hydrocarbons (oil, gas and coal) to green hydrogen (that is, </w:t>
      </w:r>
      <w:r w:rsidR="00612577">
        <w:rPr>
          <w:rFonts w:ascii="Arial" w:hAnsi="Arial" w:cs="Arial"/>
          <w:sz w:val="22"/>
          <w:szCs w:val="22"/>
        </w:rPr>
        <w:t xml:space="preserve">hydrogen </w:t>
      </w:r>
      <w:r w:rsidR="007F0996">
        <w:rPr>
          <w:rFonts w:ascii="Arial" w:hAnsi="Arial" w:cs="Arial"/>
          <w:sz w:val="22"/>
          <w:szCs w:val="22"/>
        </w:rPr>
        <w:t xml:space="preserve">produced with renewable energy) as an energy carrier in their economies. </w:t>
      </w:r>
    </w:p>
    <w:p w14:paraId="71C2864F" w14:textId="374FFC87" w:rsidR="00814D4B" w:rsidRDefault="007F0996" w:rsidP="00291220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rationale </w:t>
      </w:r>
      <w:r w:rsidR="00A6187D">
        <w:rPr>
          <w:rFonts w:ascii="Arial" w:hAnsi="Arial" w:cs="Arial"/>
          <w:sz w:val="22"/>
          <w:szCs w:val="22"/>
        </w:rPr>
        <w:t>for the transition has two parts: One, h</w:t>
      </w:r>
      <w:r>
        <w:rPr>
          <w:rFonts w:ascii="Arial" w:hAnsi="Arial" w:cs="Arial"/>
          <w:sz w:val="22"/>
          <w:szCs w:val="22"/>
        </w:rPr>
        <w:t xml:space="preserve">ydrogen can be used in fuel cells, internal combustion engines, furnaces, turbines and more, without releasing any harmful </w:t>
      </w:r>
      <w:r w:rsidR="00A6187D">
        <w:rPr>
          <w:rFonts w:ascii="Arial" w:hAnsi="Arial" w:cs="Arial"/>
          <w:sz w:val="22"/>
          <w:szCs w:val="22"/>
        </w:rPr>
        <w:t xml:space="preserve">emissions at the point of consumption; this will bring tremendous </w:t>
      </w:r>
      <w:r w:rsidR="00372560">
        <w:rPr>
          <w:rFonts w:ascii="Arial" w:hAnsi="Arial" w:cs="Arial"/>
          <w:sz w:val="22"/>
          <w:szCs w:val="22"/>
        </w:rPr>
        <w:t xml:space="preserve">improvements in </w:t>
      </w:r>
      <w:r w:rsidR="00A6187D">
        <w:rPr>
          <w:rFonts w:ascii="Arial" w:hAnsi="Arial" w:cs="Arial"/>
          <w:sz w:val="22"/>
          <w:szCs w:val="22"/>
        </w:rPr>
        <w:t xml:space="preserve">air quality and public health in congested cities, </w:t>
      </w:r>
      <w:r w:rsidR="00372560">
        <w:rPr>
          <w:rFonts w:ascii="Arial" w:hAnsi="Arial" w:cs="Arial"/>
          <w:sz w:val="22"/>
          <w:szCs w:val="22"/>
        </w:rPr>
        <w:t>and allow</w:t>
      </w:r>
      <w:r w:rsidR="00A6187D">
        <w:rPr>
          <w:rFonts w:ascii="Arial" w:hAnsi="Arial" w:cs="Arial"/>
          <w:sz w:val="22"/>
          <w:szCs w:val="22"/>
        </w:rPr>
        <w:t xml:space="preserve"> hard-to-mitigate sectors such as</w:t>
      </w:r>
      <w:r w:rsidR="009065B3">
        <w:rPr>
          <w:rFonts w:ascii="Arial" w:hAnsi="Arial" w:cs="Arial"/>
          <w:sz w:val="22"/>
          <w:szCs w:val="22"/>
        </w:rPr>
        <w:t xml:space="preserve"> cement manufacture, </w:t>
      </w:r>
      <w:r w:rsidR="00A6187D">
        <w:rPr>
          <w:rFonts w:ascii="Arial" w:hAnsi="Arial" w:cs="Arial"/>
          <w:sz w:val="22"/>
          <w:szCs w:val="22"/>
        </w:rPr>
        <w:t>aviation and long-distance road transport</w:t>
      </w:r>
      <w:r w:rsidR="00372560">
        <w:rPr>
          <w:rFonts w:ascii="Arial" w:hAnsi="Arial" w:cs="Arial"/>
          <w:sz w:val="22"/>
          <w:szCs w:val="22"/>
        </w:rPr>
        <w:t xml:space="preserve"> to de-carbonise</w:t>
      </w:r>
      <w:r w:rsidR="00A6187D">
        <w:rPr>
          <w:rFonts w:ascii="Arial" w:hAnsi="Arial" w:cs="Arial"/>
          <w:sz w:val="22"/>
          <w:szCs w:val="22"/>
        </w:rPr>
        <w:t xml:space="preserve">. And two, green hydrogen can be produced in parts of the world endowed with an abundant potential for renewable energy, like South Africa and a </w:t>
      </w:r>
      <w:r w:rsidR="00372560">
        <w:rPr>
          <w:rFonts w:ascii="Arial" w:hAnsi="Arial" w:cs="Arial"/>
          <w:sz w:val="22"/>
          <w:szCs w:val="22"/>
        </w:rPr>
        <w:t>few</w:t>
      </w:r>
      <w:r w:rsidR="00A6187D">
        <w:rPr>
          <w:rFonts w:ascii="Arial" w:hAnsi="Arial" w:cs="Arial"/>
          <w:sz w:val="22"/>
          <w:szCs w:val="22"/>
        </w:rPr>
        <w:t xml:space="preserve"> other places, and </w:t>
      </w:r>
      <w:r w:rsidR="009065B3">
        <w:rPr>
          <w:rFonts w:ascii="Arial" w:hAnsi="Arial" w:cs="Arial"/>
          <w:sz w:val="22"/>
          <w:szCs w:val="22"/>
        </w:rPr>
        <w:t xml:space="preserve">be </w:t>
      </w:r>
      <w:r w:rsidR="00A6187D">
        <w:rPr>
          <w:rFonts w:ascii="Arial" w:hAnsi="Arial" w:cs="Arial"/>
          <w:sz w:val="22"/>
          <w:szCs w:val="22"/>
        </w:rPr>
        <w:t xml:space="preserve">conveyed to industrialised countries </w:t>
      </w:r>
      <w:r w:rsidR="00AE5322">
        <w:rPr>
          <w:rFonts w:ascii="Arial" w:hAnsi="Arial" w:cs="Arial"/>
          <w:sz w:val="22"/>
          <w:szCs w:val="22"/>
        </w:rPr>
        <w:t xml:space="preserve">who have insufficient </w:t>
      </w:r>
      <w:r w:rsidR="00140AF5">
        <w:rPr>
          <w:rFonts w:ascii="Arial" w:hAnsi="Arial" w:cs="Arial"/>
          <w:sz w:val="22"/>
          <w:szCs w:val="22"/>
        </w:rPr>
        <w:t xml:space="preserve">renewable energy potential to power their economies, and hence are </w:t>
      </w:r>
      <w:r w:rsidR="00964C28">
        <w:rPr>
          <w:rFonts w:ascii="Arial" w:hAnsi="Arial" w:cs="Arial"/>
          <w:sz w:val="22"/>
          <w:szCs w:val="22"/>
        </w:rPr>
        <w:t xml:space="preserve">unable to meet their </w:t>
      </w:r>
      <w:r w:rsidR="00140AF5">
        <w:rPr>
          <w:rFonts w:ascii="Arial" w:hAnsi="Arial" w:cs="Arial"/>
          <w:sz w:val="22"/>
          <w:szCs w:val="22"/>
        </w:rPr>
        <w:t xml:space="preserve">emission </w:t>
      </w:r>
      <w:r w:rsidR="00964C28">
        <w:rPr>
          <w:rFonts w:ascii="Arial" w:hAnsi="Arial" w:cs="Arial"/>
          <w:sz w:val="22"/>
          <w:szCs w:val="22"/>
        </w:rPr>
        <w:t xml:space="preserve">reduction </w:t>
      </w:r>
      <w:r w:rsidR="00140AF5">
        <w:rPr>
          <w:rFonts w:ascii="Arial" w:hAnsi="Arial" w:cs="Arial"/>
          <w:sz w:val="22"/>
          <w:szCs w:val="22"/>
        </w:rPr>
        <w:t>commitments</w:t>
      </w:r>
      <w:r w:rsidR="00964C28">
        <w:rPr>
          <w:rFonts w:ascii="Arial" w:hAnsi="Arial" w:cs="Arial"/>
          <w:sz w:val="22"/>
          <w:szCs w:val="22"/>
        </w:rPr>
        <w:t>.</w:t>
      </w:r>
    </w:p>
    <w:p w14:paraId="55A34835" w14:textId="690CD6B4" w:rsidR="00964C28" w:rsidRDefault="00A1470A" w:rsidP="00964C28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64C28">
        <w:rPr>
          <w:rFonts w:ascii="Arial" w:hAnsi="Arial" w:cs="Arial"/>
          <w:sz w:val="22"/>
          <w:szCs w:val="22"/>
        </w:rPr>
        <w:t xml:space="preserve">his </w:t>
      </w:r>
      <w:r>
        <w:rPr>
          <w:rFonts w:ascii="Arial" w:hAnsi="Arial" w:cs="Arial"/>
          <w:sz w:val="22"/>
          <w:szCs w:val="22"/>
        </w:rPr>
        <w:t xml:space="preserve">presents </w:t>
      </w:r>
      <w:r w:rsidR="00964C28">
        <w:rPr>
          <w:rFonts w:ascii="Arial" w:hAnsi="Arial" w:cs="Arial"/>
          <w:sz w:val="22"/>
          <w:szCs w:val="22"/>
        </w:rPr>
        <w:t xml:space="preserve">an </w:t>
      </w:r>
      <w:r w:rsidR="00612577">
        <w:rPr>
          <w:rFonts w:ascii="Arial" w:hAnsi="Arial" w:cs="Arial"/>
          <w:sz w:val="22"/>
          <w:szCs w:val="22"/>
        </w:rPr>
        <w:t>industr</w:t>
      </w:r>
      <w:r w:rsidR="00964C28">
        <w:rPr>
          <w:rFonts w:ascii="Arial" w:hAnsi="Arial" w:cs="Arial"/>
          <w:sz w:val="22"/>
          <w:szCs w:val="22"/>
        </w:rPr>
        <w:t xml:space="preserve">ialisation opportunity for South Africa to become a provider of renewable energy </w:t>
      </w:r>
      <w:r>
        <w:rPr>
          <w:rFonts w:ascii="Arial" w:hAnsi="Arial" w:cs="Arial"/>
          <w:sz w:val="22"/>
          <w:szCs w:val="22"/>
        </w:rPr>
        <w:t xml:space="preserve">to countries such as Japan, South </w:t>
      </w:r>
      <w:r w:rsidRPr="007E4F6E">
        <w:rPr>
          <w:rFonts w:ascii="Arial" w:hAnsi="Arial" w:cs="Arial"/>
          <w:sz w:val="22"/>
          <w:szCs w:val="22"/>
        </w:rPr>
        <w:t xml:space="preserve">Korea and Germany and others, who have declared their strategic intent to import green hydrogen. </w:t>
      </w:r>
      <w:r w:rsidR="0009508F" w:rsidRPr="007E4F6E">
        <w:rPr>
          <w:rFonts w:ascii="Arial" w:hAnsi="Arial" w:cs="Arial"/>
          <w:sz w:val="22"/>
          <w:szCs w:val="22"/>
        </w:rPr>
        <w:t xml:space="preserve">This will require the </w:t>
      </w:r>
      <w:r w:rsidR="00C348D7" w:rsidRPr="007E4F6E">
        <w:rPr>
          <w:rFonts w:ascii="Arial" w:hAnsi="Arial" w:cs="Arial"/>
          <w:sz w:val="22"/>
          <w:szCs w:val="22"/>
        </w:rPr>
        <w:t xml:space="preserve">local </w:t>
      </w:r>
      <w:r w:rsidR="0009508F" w:rsidRPr="007E4F6E">
        <w:rPr>
          <w:rFonts w:ascii="Arial" w:hAnsi="Arial" w:cs="Arial"/>
          <w:sz w:val="22"/>
          <w:szCs w:val="22"/>
        </w:rPr>
        <w:t xml:space="preserve">development of </w:t>
      </w:r>
      <w:r w:rsidR="002F3620" w:rsidRPr="007E4F6E">
        <w:rPr>
          <w:rFonts w:ascii="Arial" w:hAnsi="Arial" w:cs="Arial"/>
          <w:sz w:val="22"/>
          <w:szCs w:val="22"/>
        </w:rPr>
        <w:t xml:space="preserve">significant and dedicated new capacity in desalination, </w:t>
      </w:r>
      <w:r w:rsidR="0009508F" w:rsidRPr="007E4F6E">
        <w:rPr>
          <w:rFonts w:ascii="Arial" w:hAnsi="Arial" w:cs="Arial"/>
          <w:sz w:val="22"/>
          <w:szCs w:val="22"/>
        </w:rPr>
        <w:t>renewable energy generation, electrolysis a</w:t>
      </w:r>
      <w:r w:rsidR="002F3620" w:rsidRPr="007E4F6E">
        <w:rPr>
          <w:rFonts w:ascii="Arial" w:hAnsi="Arial" w:cs="Arial"/>
          <w:sz w:val="22"/>
          <w:szCs w:val="22"/>
        </w:rPr>
        <w:t>nd hydrogen handling infrastructure</w:t>
      </w:r>
      <w:r w:rsidR="0009508F" w:rsidRPr="007E4F6E">
        <w:rPr>
          <w:rFonts w:ascii="Arial" w:hAnsi="Arial" w:cs="Arial"/>
          <w:sz w:val="22"/>
          <w:szCs w:val="22"/>
        </w:rPr>
        <w:t xml:space="preserve">. </w:t>
      </w:r>
      <w:r w:rsidR="00912622" w:rsidRPr="007E4F6E">
        <w:rPr>
          <w:rFonts w:ascii="Arial" w:hAnsi="Arial" w:cs="Arial"/>
          <w:sz w:val="22"/>
          <w:szCs w:val="22"/>
        </w:rPr>
        <w:t xml:space="preserve">TCTA </w:t>
      </w:r>
      <w:r w:rsidR="0009508F" w:rsidRPr="007E4F6E">
        <w:rPr>
          <w:rFonts w:ascii="Arial" w:hAnsi="Arial" w:cs="Arial"/>
          <w:sz w:val="22"/>
          <w:szCs w:val="22"/>
        </w:rPr>
        <w:t xml:space="preserve">has </w:t>
      </w:r>
      <w:r w:rsidR="00912622" w:rsidRPr="007E4F6E">
        <w:rPr>
          <w:rFonts w:ascii="Arial" w:hAnsi="Arial" w:cs="Arial"/>
          <w:sz w:val="22"/>
          <w:szCs w:val="22"/>
        </w:rPr>
        <w:t xml:space="preserve">potential entry points </w:t>
      </w:r>
      <w:r w:rsidR="0009508F" w:rsidRPr="007E4F6E">
        <w:rPr>
          <w:rFonts w:ascii="Arial" w:hAnsi="Arial" w:cs="Arial"/>
          <w:sz w:val="22"/>
          <w:szCs w:val="22"/>
        </w:rPr>
        <w:t xml:space="preserve">through </w:t>
      </w:r>
      <w:r w:rsidR="00912622" w:rsidRPr="007E4F6E">
        <w:rPr>
          <w:rFonts w:ascii="Arial" w:hAnsi="Arial" w:cs="Arial"/>
          <w:sz w:val="22"/>
          <w:szCs w:val="22"/>
        </w:rPr>
        <w:t xml:space="preserve">the financing and development of the </w:t>
      </w:r>
      <w:r w:rsidR="002F3620" w:rsidRPr="007E4F6E">
        <w:rPr>
          <w:rFonts w:ascii="Arial" w:hAnsi="Arial" w:cs="Arial"/>
          <w:sz w:val="22"/>
          <w:szCs w:val="22"/>
        </w:rPr>
        <w:t xml:space="preserve">required </w:t>
      </w:r>
      <w:r w:rsidR="00912622" w:rsidRPr="007E4F6E">
        <w:rPr>
          <w:rFonts w:ascii="Arial" w:hAnsi="Arial" w:cs="Arial"/>
          <w:sz w:val="22"/>
          <w:szCs w:val="22"/>
        </w:rPr>
        <w:t>mega-projects</w:t>
      </w:r>
      <w:r w:rsidR="002F3620" w:rsidRPr="007E4F6E">
        <w:rPr>
          <w:rFonts w:ascii="Arial" w:hAnsi="Arial" w:cs="Arial"/>
          <w:sz w:val="22"/>
          <w:szCs w:val="22"/>
        </w:rPr>
        <w:t>, as well as advisory support on the desalination components.</w:t>
      </w:r>
    </w:p>
    <w:sectPr w:rsidR="00964C28" w:rsidSect="00612577">
      <w:headerReference w:type="first" r:id="rId8"/>
      <w:pgSz w:w="11907" w:h="16840" w:code="9"/>
      <w:pgMar w:top="1134" w:right="992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B0E2" w14:textId="77777777" w:rsidR="00F80AC0" w:rsidRDefault="00F80AC0" w:rsidP="000F4230">
      <w:r>
        <w:separator/>
      </w:r>
    </w:p>
  </w:endnote>
  <w:endnote w:type="continuationSeparator" w:id="0">
    <w:p w14:paraId="619D89AB" w14:textId="77777777" w:rsidR="00F80AC0" w:rsidRDefault="00F80AC0" w:rsidP="000F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AF79" w14:textId="77777777" w:rsidR="00F80AC0" w:rsidRDefault="00F80AC0" w:rsidP="000F4230">
      <w:r>
        <w:separator/>
      </w:r>
    </w:p>
  </w:footnote>
  <w:footnote w:type="continuationSeparator" w:id="0">
    <w:p w14:paraId="594CB130" w14:textId="77777777" w:rsidR="00F80AC0" w:rsidRDefault="00F80AC0" w:rsidP="000F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C1FE" w14:textId="12913213" w:rsidR="00291220" w:rsidRDefault="00291220" w:rsidP="00291220">
    <w:pPr>
      <w:pStyle w:val="Header"/>
      <w:jc w:val="right"/>
    </w:pPr>
    <w:r>
      <w:rPr>
        <w:noProof/>
        <w:lang w:val="en-ZA" w:eastAsia="en-ZA"/>
      </w:rPr>
      <w:drawing>
        <wp:inline distT="0" distB="0" distL="0" distR="0" wp14:anchorId="53548E13" wp14:editId="50BC64CE">
          <wp:extent cx="1143322" cy="55607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421" cy="577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3AB254" w14:textId="77777777" w:rsidR="00612577" w:rsidRDefault="00612577" w:rsidP="002912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D43"/>
    <w:multiLevelType w:val="hybridMultilevel"/>
    <w:tmpl w:val="1CD2E6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076CC"/>
    <w:multiLevelType w:val="hybridMultilevel"/>
    <w:tmpl w:val="6C8E1A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E1384"/>
    <w:multiLevelType w:val="hybridMultilevel"/>
    <w:tmpl w:val="6F94EE7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NTO1sDQ1MTEwNzRT0lEKTi0uzszPAykwqgUAqXaeuSwAAAA="/>
  </w:docVars>
  <w:rsids>
    <w:rsidRoot w:val="000F4230"/>
    <w:rsid w:val="00007B56"/>
    <w:rsid w:val="000314BA"/>
    <w:rsid w:val="00041659"/>
    <w:rsid w:val="00046D6C"/>
    <w:rsid w:val="00054ED4"/>
    <w:rsid w:val="000562A9"/>
    <w:rsid w:val="00057245"/>
    <w:rsid w:val="00080AE6"/>
    <w:rsid w:val="0009508F"/>
    <w:rsid w:val="000B2FD3"/>
    <w:rsid w:val="000E4D3F"/>
    <w:rsid w:val="000F4230"/>
    <w:rsid w:val="000F6C5E"/>
    <w:rsid w:val="00104722"/>
    <w:rsid w:val="00105003"/>
    <w:rsid w:val="00114943"/>
    <w:rsid w:val="00115112"/>
    <w:rsid w:val="00140AF5"/>
    <w:rsid w:val="00147FB0"/>
    <w:rsid w:val="001C24BE"/>
    <w:rsid w:val="001E352E"/>
    <w:rsid w:val="001F4745"/>
    <w:rsid w:val="001F5292"/>
    <w:rsid w:val="0021441F"/>
    <w:rsid w:val="00233225"/>
    <w:rsid w:val="0027312D"/>
    <w:rsid w:val="00291220"/>
    <w:rsid w:val="002A5496"/>
    <w:rsid w:val="002B0644"/>
    <w:rsid w:val="002D57C2"/>
    <w:rsid w:val="002E2CEC"/>
    <w:rsid w:val="002E65CF"/>
    <w:rsid w:val="002F3620"/>
    <w:rsid w:val="00317E60"/>
    <w:rsid w:val="00320394"/>
    <w:rsid w:val="00350CD0"/>
    <w:rsid w:val="003545D0"/>
    <w:rsid w:val="00372560"/>
    <w:rsid w:val="00381058"/>
    <w:rsid w:val="003940AE"/>
    <w:rsid w:val="003E0276"/>
    <w:rsid w:val="0041565E"/>
    <w:rsid w:val="0047058E"/>
    <w:rsid w:val="00471F7C"/>
    <w:rsid w:val="004763A9"/>
    <w:rsid w:val="004C1E95"/>
    <w:rsid w:val="004C5528"/>
    <w:rsid w:val="004D2952"/>
    <w:rsid w:val="004E0D1A"/>
    <w:rsid w:val="004F0782"/>
    <w:rsid w:val="004F7C14"/>
    <w:rsid w:val="0050544A"/>
    <w:rsid w:val="00535658"/>
    <w:rsid w:val="00553591"/>
    <w:rsid w:val="00566E47"/>
    <w:rsid w:val="005A4BC4"/>
    <w:rsid w:val="005B7C1E"/>
    <w:rsid w:val="005E5131"/>
    <w:rsid w:val="005E6C77"/>
    <w:rsid w:val="00612577"/>
    <w:rsid w:val="006453BD"/>
    <w:rsid w:val="006774FC"/>
    <w:rsid w:val="00692CE2"/>
    <w:rsid w:val="006B73C3"/>
    <w:rsid w:val="006D164B"/>
    <w:rsid w:val="006E54CC"/>
    <w:rsid w:val="00731798"/>
    <w:rsid w:val="00777D18"/>
    <w:rsid w:val="00786ED6"/>
    <w:rsid w:val="00792EB5"/>
    <w:rsid w:val="007944FB"/>
    <w:rsid w:val="007D5619"/>
    <w:rsid w:val="007E007A"/>
    <w:rsid w:val="007E4F6E"/>
    <w:rsid w:val="007F0996"/>
    <w:rsid w:val="00811587"/>
    <w:rsid w:val="00814D4B"/>
    <w:rsid w:val="008329FF"/>
    <w:rsid w:val="00842FBC"/>
    <w:rsid w:val="00885EA1"/>
    <w:rsid w:val="008B6601"/>
    <w:rsid w:val="008D68A6"/>
    <w:rsid w:val="008E4F1F"/>
    <w:rsid w:val="009065B3"/>
    <w:rsid w:val="0090749E"/>
    <w:rsid w:val="00907AD8"/>
    <w:rsid w:val="00912622"/>
    <w:rsid w:val="0094318E"/>
    <w:rsid w:val="0094637D"/>
    <w:rsid w:val="00964C28"/>
    <w:rsid w:val="00973506"/>
    <w:rsid w:val="009871FE"/>
    <w:rsid w:val="00997945"/>
    <w:rsid w:val="009C4842"/>
    <w:rsid w:val="009C504A"/>
    <w:rsid w:val="00A1084C"/>
    <w:rsid w:val="00A121FB"/>
    <w:rsid w:val="00A1470A"/>
    <w:rsid w:val="00A22E92"/>
    <w:rsid w:val="00A30FB0"/>
    <w:rsid w:val="00A46E44"/>
    <w:rsid w:val="00A6187D"/>
    <w:rsid w:val="00AD5820"/>
    <w:rsid w:val="00AE5322"/>
    <w:rsid w:val="00B22E6C"/>
    <w:rsid w:val="00B47918"/>
    <w:rsid w:val="00B74D8D"/>
    <w:rsid w:val="00B751F9"/>
    <w:rsid w:val="00B83450"/>
    <w:rsid w:val="00B86553"/>
    <w:rsid w:val="00BA08DB"/>
    <w:rsid w:val="00BB3539"/>
    <w:rsid w:val="00BB66CF"/>
    <w:rsid w:val="00BD1630"/>
    <w:rsid w:val="00BD68FA"/>
    <w:rsid w:val="00BF5186"/>
    <w:rsid w:val="00C348D7"/>
    <w:rsid w:val="00C3675A"/>
    <w:rsid w:val="00C507FC"/>
    <w:rsid w:val="00C520B1"/>
    <w:rsid w:val="00C579B0"/>
    <w:rsid w:val="00C61105"/>
    <w:rsid w:val="00C749AD"/>
    <w:rsid w:val="00C77524"/>
    <w:rsid w:val="00C9474D"/>
    <w:rsid w:val="00CB0A88"/>
    <w:rsid w:val="00CC0DD4"/>
    <w:rsid w:val="00CC3472"/>
    <w:rsid w:val="00CC5A30"/>
    <w:rsid w:val="00CE4D6D"/>
    <w:rsid w:val="00CE7189"/>
    <w:rsid w:val="00CF0E1C"/>
    <w:rsid w:val="00CF50E1"/>
    <w:rsid w:val="00D04037"/>
    <w:rsid w:val="00D17F05"/>
    <w:rsid w:val="00D34ED8"/>
    <w:rsid w:val="00D35D85"/>
    <w:rsid w:val="00D37E44"/>
    <w:rsid w:val="00D81695"/>
    <w:rsid w:val="00D831CC"/>
    <w:rsid w:val="00DB587C"/>
    <w:rsid w:val="00DF128A"/>
    <w:rsid w:val="00DF4E81"/>
    <w:rsid w:val="00E1067D"/>
    <w:rsid w:val="00E11CDD"/>
    <w:rsid w:val="00E173D9"/>
    <w:rsid w:val="00E26C87"/>
    <w:rsid w:val="00E362A4"/>
    <w:rsid w:val="00E50D95"/>
    <w:rsid w:val="00E5102C"/>
    <w:rsid w:val="00E6225C"/>
    <w:rsid w:val="00E91C7D"/>
    <w:rsid w:val="00EA2E3A"/>
    <w:rsid w:val="00EE31CC"/>
    <w:rsid w:val="00F038EC"/>
    <w:rsid w:val="00F33EB2"/>
    <w:rsid w:val="00F43C1B"/>
    <w:rsid w:val="00F53C84"/>
    <w:rsid w:val="00F55A13"/>
    <w:rsid w:val="00F6005F"/>
    <w:rsid w:val="00F80AC0"/>
    <w:rsid w:val="00F86EB0"/>
    <w:rsid w:val="00F9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B8C540"/>
  <w15:docId w15:val="{C170DD2A-766A-4473-AB14-53DBEA5C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423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F4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423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F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23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F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CCD5-B94B-43AC-9A2D-423D3481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Bosman</dc:creator>
  <cp:lastModifiedBy>Gaongalelwe Tiro</cp:lastModifiedBy>
  <cp:revision>3</cp:revision>
  <cp:lastPrinted>2018-01-15T19:45:00Z</cp:lastPrinted>
  <dcterms:created xsi:type="dcterms:W3CDTF">2021-06-28T12:25:00Z</dcterms:created>
  <dcterms:modified xsi:type="dcterms:W3CDTF">2021-06-28T12:33:00Z</dcterms:modified>
</cp:coreProperties>
</file>